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3E33" w14:textId="753CDE57" w:rsidR="00156137" w:rsidRDefault="00156137">
      <w:pPr>
        <w:pStyle w:val="Paragrafoelenco"/>
        <w:ind w:left="0"/>
        <w:jc w:val="center"/>
        <w:rPr>
          <w:b/>
          <w:bCs/>
        </w:rPr>
      </w:pPr>
      <w:r>
        <w:rPr>
          <w:b/>
          <w:bCs/>
        </w:rPr>
        <w:t>COMUNICATO STAMPA</w:t>
      </w:r>
    </w:p>
    <w:p w14:paraId="3B2A956F" w14:textId="77777777" w:rsidR="001045CF" w:rsidRDefault="001045CF" w:rsidP="00F82D22">
      <w:pPr>
        <w:pStyle w:val="Paragrafoelenco"/>
        <w:ind w:left="0"/>
        <w:jc w:val="center"/>
        <w:rPr>
          <w:b/>
          <w:bCs/>
        </w:rPr>
      </w:pPr>
    </w:p>
    <w:p w14:paraId="466ADDF3" w14:textId="30C864DC" w:rsidR="002B0246" w:rsidRPr="00F82D22" w:rsidRDefault="00304CBE" w:rsidP="00FB1216">
      <w:pPr>
        <w:jc w:val="center"/>
        <w:rPr>
          <w:b/>
          <w:bCs/>
          <w:sz w:val="32"/>
          <w:szCs w:val="32"/>
        </w:rPr>
      </w:pPr>
      <w:r w:rsidRPr="00F82D22">
        <w:rPr>
          <w:b/>
          <w:bCs/>
          <w:sz w:val="32"/>
          <w:szCs w:val="32"/>
        </w:rPr>
        <w:t>Prorogat</w:t>
      </w:r>
      <w:r w:rsidR="00672647">
        <w:rPr>
          <w:b/>
          <w:bCs/>
          <w:sz w:val="32"/>
          <w:szCs w:val="32"/>
        </w:rPr>
        <w:t>a</w:t>
      </w:r>
      <w:r w:rsidRPr="00F82D22">
        <w:rPr>
          <w:b/>
          <w:bCs/>
          <w:sz w:val="32"/>
          <w:szCs w:val="32"/>
        </w:rPr>
        <w:t xml:space="preserve"> di tre </w:t>
      </w:r>
      <w:r w:rsidR="00672647">
        <w:rPr>
          <w:b/>
          <w:bCs/>
          <w:sz w:val="32"/>
          <w:szCs w:val="32"/>
        </w:rPr>
        <w:t>anni l’applicazione de</w:t>
      </w:r>
      <w:r w:rsidRPr="00F82D22">
        <w:rPr>
          <w:b/>
          <w:bCs/>
          <w:sz w:val="32"/>
          <w:szCs w:val="32"/>
        </w:rPr>
        <w:t>l d</w:t>
      </w:r>
      <w:r w:rsidR="002B0246" w:rsidRPr="00F82D22">
        <w:rPr>
          <w:b/>
          <w:bCs/>
          <w:sz w:val="32"/>
          <w:szCs w:val="32"/>
        </w:rPr>
        <w:t>ivieto di sperimentazione animale su sostanze d’abuso e xenotrapianti</w:t>
      </w:r>
      <w:r w:rsidR="00406328">
        <w:rPr>
          <w:b/>
          <w:bCs/>
          <w:sz w:val="32"/>
          <w:szCs w:val="32"/>
        </w:rPr>
        <w:t xml:space="preserve"> d’organo</w:t>
      </w:r>
    </w:p>
    <w:p w14:paraId="467ACCB9" w14:textId="548B3CBF" w:rsidR="00793432" w:rsidRPr="00F82D22" w:rsidRDefault="00793432" w:rsidP="00F82D22">
      <w:pPr>
        <w:jc w:val="center"/>
        <w:rPr>
          <w:b/>
          <w:bCs/>
          <w:i/>
          <w:iCs/>
          <w:sz w:val="24"/>
          <w:szCs w:val="24"/>
        </w:rPr>
      </w:pPr>
      <w:r w:rsidRPr="00F82D22">
        <w:rPr>
          <w:i/>
          <w:iCs/>
          <w:sz w:val="24"/>
          <w:szCs w:val="24"/>
        </w:rPr>
        <w:t xml:space="preserve">Le Commissioni Affari costituzionali e Bilancio della Camera hanno </w:t>
      </w:r>
      <w:r w:rsidR="0024790E">
        <w:rPr>
          <w:i/>
          <w:iCs/>
          <w:sz w:val="24"/>
          <w:szCs w:val="24"/>
        </w:rPr>
        <w:t xml:space="preserve">prorogato </w:t>
      </w:r>
      <w:r w:rsidRPr="00F82D22">
        <w:rPr>
          <w:i/>
          <w:iCs/>
          <w:sz w:val="24"/>
          <w:szCs w:val="24"/>
        </w:rPr>
        <w:t xml:space="preserve">al 2025 l’applicazione del divieto che impedisce ai ricercatori italiani di impiegare animali </w:t>
      </w:r>
      <w:r w:rsidR="0024790E">
        <w:rPr>
          <w:i/>
          <w:iCs/>
          <w:sz w:val="24"/>
          <w:szCs w:val="24"/>
        </w:rPr>
        <w:t>negli</w:t>
      </w:r>
      <w:r w:rsidRPr="00F82D22">
        <w:rPr>
          <w:i/>
          <w:iCs/>
          <w:sz w:val="24"/>
          <w:szCs w:val="24"/>
        </w:rPr>
        <w:t xml:space="preserve"> studi sulle sostanze d’abuso (che comprendono anche alcuni farmaci) e sugli xenotrapianti</w:t>
      </w:r>
      <w:r w:rsidR="000B01DB">
        <w:rPr>
          <w:i/>
          <w:iCs/>
          <w:sz w:val="24"/>
          <w:szCs w:val="24"/>
        </w:rPr>
        <w:t xml:space="preserve"> d’organo</w:t>
      </w:r>
      <w:r w:rsidRPr="00F82D22">
        <w:rPr>
          <w:i/>
          <w:iCs/>
          <w:sz w:val="24"/>
          <w:szCs w:val="24"/>
        </w:rPr>
        <w:t xml:space="preserve">. Un risultato di grande importanza per la ricerca italiana, che potrà proseguire in questi campi, ma anche per il Governo, che potrà intervenire sulla procedura d’infrazione che l’Unione </w:t>
      </w:r>
      <w:r w:rsidR="0024790E">
        <w:rPr>
          <w:i/>
          <w:iCs/>
          <w:sz w:val="24"/>
          <w:szCs w:val="24"/>
        </w:rPr>
        <w:t>e</w:t>
      </w:r>
      <w:r w:rsidRPr="00F82D22">
        <w:rPr>
          <w:i/>
          <w:iCs/>
          <w:sz w:val="24"/>
          <w:szCs w:val="24"/>
        </w:rPr>
        <w:t>uropea</w:t>
      </w:r>
      <w:r w:rsidR="00F82D22" w:rsidRPr="00F82D22">
        <w:rPr>
          <w:i/>
          <w:iCs/>
          <w:sz w:val="24"/>
          <w:szCs w:val="24"/>
        </w:rPr>
        <w:t xml:space="preserve"> ha </w:t>
      </w:r>
      <w:r w:rsidR="009664A6">
        <w:rPr>
          <w:i/>
          <w:iCs/>
          <w:sz w:val="24"/>
          <w:szCs w:val="24"/>
        </w:rPr>
        <w:t>avviato</w:t>
      </w:r>
      <w:r w:rsidR="00F82D22" w:rsidRPr="00F82D22">
        <w:rPr>
          <w:i/>
          <w:iCs/>
          <w:sz w:val="24"/>
          <w:szCs w:val="24"/>
        </w:rPr>
        <w:t xml:space="preserve"> a carico dell’Italia</w:t>
      </w:r>
      <w:r w:rsidRPr="00F82D22">
        <w:rPr>
          <w:i/>
          <w:iCs/>
          <w:sz w:val="24"/>
          <w:szCs w:val="24"/>
        </w:rPr>
        <w:t xml:space="preserve"> proprio per questi divieti</w:t>
      </w:r>
    </w:p>
    <w:p w14:paraId="661018B6" w14:textId="3FE1B3C1" w:rsidR="002B0246" w:rsidRPr="00F0402F" w:rsidRDefault="002B0246" w:rsidP="00F82D22">
      <w:pPr>
        <w:rPr>
          <w:b/>
          <w:bCs/>
        </w:rPr>
      </w:pPr>
    </w:p>
    <w:p w14:paraId="4140BFC5" w14:textId="60AC858F" w:rsidR="00FF1EF8" w:rsidRDefault="00F82D22" w:rsidP="00F82D22">
      <w:pPr>
        <w:pStyle w:val="Paragrafoelenco"/>
        <w:ind w:left="0"/>
        <w:jc w:val="both"/>
      </w:pPr>
      <w:r w:rsidRPr="00F82D22">
        <w:rPr>
          <w:i/>
          <w:iCs/>
        </w:rPr>
        <w:t>17 febbraio 2022 -</w:t>
      </w:r>
      <w:r>
        <w:t xml:space="preserve"> </w:t>
      </w:r>
      <w:r w:rsidR="00304CBE">
        <w:t>Il</w:t>
      </w:r>
      <w:r w:rsidR="00304CBE" w:rsidRPr="00304CBE">
        <w:t xml:space="preserve"> mondo della ricerca biomedica italiana </w:t>
      </w:r>
      <w:r w:rsidR="00304CBE">
        <w:t xml:space="preserve">esprime </w:t>
      </w:r>
      <w:r w:rsidR="00F17AE2">
        <w:t>a</w:t>
      </w:r>
      <w:r w:rsidR="00304CBE">
        <w:t xml:space="preserve">pprezzamento </w:t>
      </w:r>
      <w:r w:rsidR="0024790E">
        <w:t>per</w:t>
      </w:r>
      <w:r w:rsidR="00304CBE">
        <w:t xml:space="preserve"> la </w:t>
      </w:r>
      <w:r w:rsidR="00304CBE" w:rsidRPr="00F82D22">
        <w:rPr>
          <w:b/>
          <w:bCs/>
        </w:rPr>
        <w:t>proroga di tre anni</w:t>
      </w:r>
      <w:r w:rsidR="00304CBE">
        <w:t xml:space="preserve">, </w:t>
      </w:r>
      <w:r w:rsidR="00304CBE" w:rsidRPr="00F82D22">
        <w:t>fino al 1° luglio 2025, dell’applicazione</w:t>
      </w:r>
      <w:r w:rsidR="00304CBE" w:rsidRPr="0051656E">
        <w:rPr>
          <w:b/>
          <w:bCs/>
        </w:rPr>
        <w:t xml:space="preserve"> dei divieti che impediscono l’utilizzo dei modelli animali nelle ricerche sulle sostanze d’abuso e sugli xenotrapianti d’organo</w:t>
      </w:r>
      <w:r w:rsidR="00304CBE">
        <w:rPr>
          <w:b/>
          <w:bCs/>
        </w:rPr>
        <w:t xml:space="preserve">, </w:t>
      </w:r>
      <w:r w:rsidR="00304CBE" w:rsidRPr="00F82D22">
        <w:t xml:space="preserve">approvata </w:t>
      </w:r>
      <w:r w:rsidR="00736333">
        <w:t>dalle Commissioni Affari costituzionali e Bilancio della Camera, con un ampio consenso politicamente trasversale</w:t>
      </w:r>
      <w:r>
        <w:t xml:space="preserve"> </w:t>
      </w:r>
      <w:r w:rsidR="00304CBE" w:rsidRPr="00304CBE">
        <w:t>d</w:t>
      </w:r>
      <w:r w:rsidR="00596482" w:rsidRPr="00304CBE">
        <w:t>urante</w:t>
      </w:r>
      <w:r w:rsidR="00596482">
        <w:t xml:space="preserve"> l’esame parlamentare del Decreto-legge di Proroga termini (</w:t>
      </w:r>
      <w:r w:rsidR="00C84087">
        <w:t xml:space="preserve">il cosiddetto </w:t>
      </w:r>
      <w:r w:rsidR="00596482">
        <w:t>Milleproroghe)</w:t>
      </w:r>
      <w:r>
        <w:t>.</w:t>
      </w:r>
    </w:p>
    <w:p w14:paraId="2B868C13" w14:textId="77777777" w:rsidR="00C84087" w:rsidRDefault="00C84087" w:rsidP="00F82D22">
      <w:pPr>
        <w:pStyle w:val="Paragrafoelenco"/>
        <w:ind w:left="0"/>
        <w:jc w:val="both"/>
      </w:pPr>
    </w:p>
    <w:p w14:paraId="598130D2" w14:textId="57AF718C" w:rsidR="00F21985" w:rsidRDefault="00F21985" w:rsidP="00F82D22">
      <w:pPr>
        <w:pStyle w:val="Paragrafoelenco"/>
        <w:ind w:left="0"/>
        <w:jc w:val="both"/>
      </w:pPr>
      <w:r>
        <w:t xml:space="preserve">Si tratta </w:t>
      </w:r>
      <w:r w:rsidR="00304CBE">
        <w:t xml:space="preserve">infatti </w:t>
      </w:r>
      <w:r>
        <w:t xml:space="preserve">di </w:t>
      </w:r>
      <w:r w:rsidRPr="00F82D22">
        <w:rPr>
          <w:b/>
          <w:bCs/>
        </w:rPr>
        <w:t>divieti che</w:t>
      </w:r>
      <w:r>
        <w:t xml:space="preserve"> </w:t>
      </w:r>
      <w:r w:rsidRPr="00F82D22">
        <w:rPr>
          <w:b/>
          <w:bCs/>
        </w:rPr>
        <w:t>non trovano riscontro nella Direttiva europea 2010/63/UE sulla protezione degli animali utilizzati per scopi scientifici</w:t>
      </w:r>
      <w:r>
        <w:t xml:space="preserve">, né all’interno dei provvedimenti attuativi adottati dagli altri Stati membri. Non a caso sono oggetto di una procedura d’infrazione a carico dell’Italia. </w:t>
      </w:r>
    </w:p>
    <w:p w14:paraId="00A3DB42" w14:textId="69D1657A" w:rsidR="00736333" w:rsidRDefault="00736333" w:rsidP="00F82D22">
      <w:pPr>
        <w:pStyle w:val="Paragrafoelenco"/>
        <w:ind w:left="0"/>
        <w:jc w:val="both"/>
      </w:pPr>
    </w:p>
    <w:p w14:paraId="212EDDCD" w14:textId="35E0114B" w:rsidR="00736333" w:rsidRDefault="00736333" w:rsidP="00F82D22">
      <w:pPr>
        <w:pStyle w:val="Paragrafoelenco"/>
        <w:ind w:left="0"/>
        <w:jc w:val="both"/>
      </w:pPr>
      <w:r>
        <w:t xml:space="preserve">Secondo </w:t>
      </w:r>
      <w:r w:rsidRPr="00F82D22">
        <w:rPr>
          <w:b/>
          <w:bCs/>
        </w:rPr>
        <w:t>Giuliano Grignaschi, portavoce di Research4Life</w:t>
      </w:r>
      <w:r>
        <w:t>, “</w:t>
      </w:r>
      <w:r w:rsidRPr="00F82D22">
        <w:rPr>
          <w:i/>
          <w:iCs/>
        </w:rPr>
        <w:t>La proroga triennale concede un</w:t>
      </w:r>
      <w:r w:rsidR="0024790E">
        <w:rPr>
          <w:i/>
          <w:iCs/>
        </w:rPr>
        <w:t xml:space="preserve"> congruo</w:t>
      </w:r>
      <w:r w:rsidRPr="00F82D22">
        <w:rPr>
          <w:i/>
          <w:iCs/>
        </w:rPr>
        <w:t xml:space="preserve"> orizzonte temporale al Governo per intervenire sull’intera procedura d’infrazione, nella quale i divieti si inseriscono, dando seguito all’impegno assunto in sede parlamentare. Contestualmente, i ricercatori potranno proseguire le loro attività di sviluppo di adeguate procedure alternative al modello animale che possano quanto prima sostituire integralmente o parzialmente le sperimentazioni animali</w:t>
      </w:r>
      <w:r>
        <w:t>”.</w:t>
      </w:r>
    </w:p>
    <w:p w14:paraId="7ABEF7EB" w14:textId="77777777" w:rsidR="00777869" w:rsidRDefault="00777869" w:rsidP="00F82D22">
      <w:pPr>
        <w:pStyle w:val="Paragrafoelenco"/>
        <w:ind w:left="0"/>
        <w:jc w:val="both"/>
      </w:pPr>
    </w:p>
    <w:p w14:paraId="3D7FB080" w14:textId="77777777" w:rsidR="00F82D22" w:rsidRDefault="00736333" w:rsidP="00F82D22">
      <w:pPr>
        <w:pStyle w:val="Paragrafoelenco"/>
        <w:ind w:left="0"/>
        <w:jc w:val="both"/>
      </w:pPr>
      <w:r>
        <w:t>T</w:t>
      </w:r>
      <w:r w:rsidR="00BE3E1B">
        <w:t>ali divieti</w:t>
      </w:r>
      <w:r w:rsidR="00FF1EF8">
        <w:t xml:space="preserve"> non trovano </w:t>
      </w:r>
      <w:r w:rsidR="00596482">
        <w:t>fondamenti</w:t>
      </w:r>
      <w:r w:rsidR="00FF1EF8">
        <w:t xml:space="preserve"> scientific</w:t>
      </w:r>
      <w:r w:rsidR="00596482">
        <w:t>i</w:t>
      </w:r>
      <w:r w:rsidR="00205038">
        <w:t xml:space="preserve">: </w:t>
      </w:r>
      <w:r w:rsidR="00FF1EF8">
        <w:t xml:space="preserve">come certificato dal Ministero della Salute, </w:t>
      </w:r>
      <w:r w:rsidR="00205038">
        <w:t xml:space="preserve">infatti, </w:t>
      </w:r>
      <w:r w:rsidR="00FF1EF8">
        <w:t xml:space="preserve">al momento </w:t>
      </w:r>
      <w:r w:rsidR="00FF1EF8" w:rsidRPr="00F82D22">
        <w:rPr>
          <w:b/>
          <w:bCs/>
        </w:rPr>
        <w:t>non sono disponibili metodi alternativi idonei a sostituire adeguatamente il modello animale</w:t>
      </w:r>
      <w:r w:rsidR="00596482" w:rsidRPr="00F82D22">
        <w:rPr>
          <w:b/>
          <w:bCs/>
        </w:rPr>
        <w:t xml:space="preserve"> nelle sperimentazioni precliniche</w:t>
      </w:r>
      <w:r w:rsidR="001045CF">
        <w:rPr>
          <w:b/>
          <w:bCs/>
        </w:rPr>
        <w:t xml:space="preserve"> in questi ambiti</w:t>
      </w:r>
      <w:r w:rsidR="00FF1EF8">
        <w:t xml:space="preserve">. Pertanto, un’eventuale entrata in vigore </w:t>
      </w:r>
      <w:r w:rsidR="00BE3E1B">
        <w:t>degli stessi</w:t>
      </w:r>
      <w:r w:rsidR="00FF1EF8">
        <w:t xml:space="preserve">, oltre a far avanzare l’infrazione, comprometterebbe </w:t>
      </w:r>
      <w:r w:rsidR="00596482">
        <w:t xml:space="preserve">anche </w:t>
      </w:r>
      <w:r w:rsidR="00FF1EF8">
        <w:t xml:space="preserve">molti studi farmacologici. </w:t>
      </w:r>
    </w:p>
    <w:p w14:paraId="154071BA" w14:textId="77777777" w:rsidR="00F82D22" w:rsidRDefault="00F82D22" w:rsidP="00F82D22">
      <w:pPr>
        <w:pStyle w:val="Paragrafoelenco"/>
        <w:ind w:left="0"/>
        <w:jc w:val="both"/>
      </w:pPr>
    </w:p>
    <w:p w14:paraId="4CFA0D3B" w14:textId="66A2F93C" w:rsidR="00FF1EF8" w:rsidRDefault="00FF1EF8" w:rsidP="00F82D22">
      <w:pPr>
        <w:pStyle w:val="Paragrafoelenco"/>
        <w:ind w:left="0"/>
        <w:jc w:val="both"/>
      </w:pPr>
      <w:r>
        <w:t xml:space="preserve">Nella definizione di </w:t>
      </w:r>
      <w:r w:rsidRPr="00F82D22">
        <w:rPr>
          <w:b/>
          <w:bCs/>
        </w:rPr>
        <w:t>sostanze d’abuso</w:t>
      </w:r>
      <w:r>
        <w:t xml:space="preserve">, infatti, rientrano anche </w:t>
      </w:r>
      <w:r w:rsidR="00C84087">
        <w:t>alcuni</w:t>
      </w:r>
      <w:r>
        <w:t xml:space="preserve"> farmaci</w:t>
      </w:r>
      <w:r w:rsidR="00C84087">
        <w:t>:</w:t>
      </w:r>
      <w:r>
        <w:t xml:space="preserve"> </w:t>
      </w:r>
      <w:r w:rsidR="00C84087">
        <w:t>nello specifico, o</w:t>
      </w:r>
      <w:r w:rsidRPr="007C1DD5">
        <w:t>gni farmaco</w:t>
      </w:r>
      <w:r w:rsidR="00C84087">
        <w:t xml:space="preserve"> </w:t>
      </w:r>
      <w:r w:rsidRPr="007C1DD5">
        <w:t>che sia in grado di raggiungere il cervello</w:t>
      </w:r>
      <w:r w:rsidR="00C84087">
        <w:t xml:space="preserve"> </w:t>
      </w:r>
      <w:r w:rsidRPr="007C1DD5">
        <w:t>deve essere testato per le sue potenziali attività di abuso</w:t>
      </w:r>
      <w:r w:rsidR="000C5D15">
        <w:t xml:space="preserve">; tra questi sono compresi per esempio alcuni chemioterapici impiegati nel trattamento del cancro. </w:t>
      </w:r>
      <w:r w:rsidRPr="007C1DD5">
        <w:t xml:space="preserve"> </w:t>
      </w:r>
    </w:p>
    <w:p w14:paraId="788683EA" w14:textId="162E505D" w:rsidR="00FC0980" w:rsidRDefault="00FC0980" w:rsidP="00F82D22">
      <w:pPr>
        <w:pStyle w:val="Paragrafoelenco"/>
        <w:ind w:left="0"/>
        <w:jc w:val="both"/>
      </w:pPr>
      <w:r w:rsidRPr="00FF1EF8">
        <w:t xml:space="preserve">La </w:t>
      </w:r>
      <w:r w:rsidRPr="00F82D22">
        <w:rPr>
          <w:b/>
          <w:bCs/>
        </w:rPr>
        <w:t>Società Italiana di Farmacologia</w:t>
      </w:r>
      <w:r w:rsidRPr="00FF1EF8">
        <w:t xml:space="preserve"> esprime soddisfazione e apprezzamento per la proroga</w:t>
      </w:r>
      <w:r>
        <w:t xml:space="preserve">, </w:t>
      </w:r>
      <w:r w:rsidR="0024790E">
        <w:t>“</w:t>
      </w:r>
      <w:r w:rsidRPr="0024790E">
        <w:rPr>
          <w:i/>
          <w:iCs/>
        </w:rPr>
        <w:t>una misura che garantirà il proseguo della attività di studio degli aspetti tossicologici di farmaci nuovi a fini registrativi e al contempo consentirà alla comunità scientifica di sviluppare sempre più metodi alternativi validi da affiancare alla sperimentazione su animali da laboratorio nell’ottica di una loro sostituzione</w:t>
      </w:r>
      <w:r w:rsidR="0024790E">
        <w:t>”</w:t>
      </w:r>
      <w:r w:rsidRPr="00FF1EF8">
        <w:t>.</w:t>
      </w:r>
    </w:p>
    <w:p w14:paraId="0BC3CE2D" w14:textId="77777777" w:rsidR="00C84087" w:rsidRPr="007C1DD5" w:rsidRDefault="00C84087" w:rsidP="00F82D22">
      <w:pPr>
        <w:pStyle w:val="Paragrafoelenco"/>
        <w:ind w:left="0"/>
        <w:jc w:val="both"/>
      </w:pPr>
    </w:p>
    <w:p w14:paraId="625DEA9F" w14:textId="6A895459" w:rsidR="00FF1EF8" w:rsidRDefault="00FF1EF8" w:rsidP="00F82D22">
      <w:pPr>
        <w:pStyle w:val="Paragrafoelenco"/>
        <w:ind w:left="0"/>
        <w:jc w:val="both"/>
      </w:pPr>
      <w:r w:rsidRPr="007C1DD5">
        <w:t xml:space="preserve">Gli </w:t>
      </w:r>
      <w:r w:rsidRPr="00F82D22">
        <w:rPr>
          <w:b/>
          <w:bCs/>
        </w:rPr>
        <w:t>xenotrapianti d’organo</w:t>
      </w:r>
      <w:r w:rsidRPr="007C1DD5">
        <w:t>, invece, rappresentano una concreta speranza per moltissimi pazienti che da anni aspettano un donatore compatibile per un trapianto</w:t>
      </w:r>
      <w:r w:rsidR="00205038">
        <w:t>, c</w:t>
      </w:r>
      <w:r w:rsidRPr="007C1DD5">
        <w:t>ome dimostrano le recenti notizie sugli xenotrapianti di rene e di cuore negli Stati Uniti.</w:t>
      </w:r>
    </w:p>
    <w:p w14:paraId="25805C82" w14:textId="436154D1" w:rsidR="00FC0980" w:rsidRDefault="00FC0980" w:rsidP="00F82D22">
      <w:pPr>
        <w:pStyle w:val="Paragrafoelenco"/>
        <w:ind w:left="0"/>
        <w:jc w:val="both"/>
      </w:pPr>
      <w:r w:rsidRPr="00F82D22">
        <w:rPr>
          <w:b/>
          <w:bCs/>
        </w:rPr>
        <w:t>Giuseppe Remuzzi, direttore scientifico IRCCS Mario Negri</w:t>
      </w:r>
      <w:r>
        <w:t>, commenta così il risultato: “</w:t>
      </w:r>
      <w:r w:rsidRPr="00F82D22">
        <w:rPr>
          <w:i/>
          <w:iCs/>
        </w:rPr>
        <w:t xml:space="preserve">È molto importante che le commissioni parlamentari abbiano seguito l'orientamento dell'Europa prorogando il divieto all'impiego di animali da laboratorio negli studi sullo xenotrapianto. Si tratta di un'area che ha bisogno di ricerca per </w:t>
      </w:r>
      <w:r w:rsidRPr="00F82D22">
        <w:rPr>
          <w:i/>
          <w:iCs/>
        </w:rPr>
        <w:lastRenderedPageBreak/>
        <w:t>affrontare nel modo più rigoroso il problema di gravi malattie che affliggono tantissime persone. Esprimiamo il nostro plauso per il senso di responsabilità e attenzione delle commissioni ai problemi della scienza</w:t>
      </w:r>
      <w:r>
        <w:t>".</w:t>
      </w:r>
    </w:p>
    <w:p w14:paraId="07FF9E63" w14:textId="746BE1E0" w:rsidR="00F82D22" w:rsidRDefault="00F82D22" w:rsidP="00F82D22">
      <w:pPr>
        <w:pStyle w:val="Paragrafoelenco"/>
        <w:ind w:left="0"/>
        <w:jc w:val="both"/>
      </w:pPr>
    </w:p>
    <w:p w14:paraId="50E01B76" w14:textId="77777777" w:rsidR="00F82D22" w:rsidRDefault="00F82D22" w:rsidP="00F82D22">
      <w:pPr>
        <w:pStyle w:val="Paragrafoelenco"/>
        <w:ind w:left="0"/>
        <w:jc w:val="both"/>
      </w:pPr>
      <w:r>
        <w:t>Vale inoltre la pena ricordare che è stato proprio grazie alle sperimentazioni sui modelli animali che si è riusciti a ottenere in modo tempestivo i vaccini contro Covid-19, principale arma nella lotta alla pandemia.</w:t>
      </w:r>
    </w:p>
    <w:p w14:paraId="408A5BFA" w14:textId="77777777" w:rsidR="00F82D22" w:rsidRDefault="00F82D22" w:rsidP="00F82D22">
      <w:pPr>
        <w:pStyle w:val="Paragrafoelenco"/>
        <w:ind w:left="0"/>
        <w:jc w:val="both"/>
      </w:pPr>
    </w:p>
    <w:p w14:paraId="47FEC661" w14:textId="2C105CC9" w:rsidR="00FF1EF8" w:rsidRPr="00444DE3" w:rsidRDefault="00FF1EF8" w:rsidP="00F82D22">
      <w:pPr>
        <w:pStyle w:val="Paragrafoelenco"/>
        <w:ind w:left="0"/>
        <w:jc w:val="both"/>
      </w:pPr>
      <w:r>
        <w:t xml:space="preserve">Sin dal recepimento della Direttiva, </w:t>
      </w:r>
      <w:r w:rsidR="00205038">
        <w:t>l’entrata de</w:t>
      </w:r>
      <w:r>
        <w:t xml:space="preserve">i divieti </w:t>
      </w:r>
      <w:r w:rsidR="00205038">
        <w:t>è stata prorogata</w:t>
      </w:r>
      <w:r>
        <w:t xml:space="preserve"> di anno in anno</w:t>
      </w:r>
      <w:r w:rsidR="00F82D22">
        <w:t>, ma il loro mantenimento</w:t>
      </w:r>
      <w:r w:rsidRPr="00444DE3">
        <w:t xml:space="preserve"> </w:t>
      </w:r>
      <w:r>
        <w:t xml:space="preserve">mina la competitività dei </w:t>
      </w:r>
      <w:r w:rsidRPr="00444DE3">
        <w:t>ricercatori italiani</w:t>
      </w:r>
      <w:r>
        <w:t xml:space="preserve"> </w:t>
      </w:r>
      <w:r w:rsidRPr="00444DE3">
        <w:t>nell’accesso ai bandi europei pluriennal</w:t>
      </w:r>
      <w:r>
        <w:t>i.</w:t>
      </w:r>
    </w:p>
    <w:p w14:paraId="615F556F" w14:textId="2BEC9EC2" w:rsidR="002B0246" w:rsidRDefault="00777869" w:rsidP="00F82D22">
      <w:pPr>
        <w:pStyle w:val="Paragrafoelenco"/>
        <w:ind w:left="0"/>
        <w:jc w:val="both"/>
      </w:pPr>
      <w:r>
        <w:t>Nel corso del 2021</w:t>
      </w:r>
      <w:r w:rsidR="002B0246">
        <w:t>,</w:t>
      </w:r>
      <w:r w:rsidR="00FF1EF8">
        <w:t xml:space="preserve"> il Governo si è impegnato in sede parlamentare a</w:t>
      </w:r>
      <w:r w:rsidR="00F21985">
        <w:t>d adoperarsi per la risoluzione del</w:t>
      </w:r>
      <w:r w:rsidR="00FF1EF8">
        <w:t>l’intera procedura d’infrazione</w:t>
      </w:r>
      <w:r w:rsidR="00205038">
        <w:t xml:space="preserve"> </w:t>
      </w:r>
      <w:r w:rsidR="00F21985">
        <w:t>che</w:t>
      </w:r>
      <w:r w:rsidR="00F0402F">
        <w:t>, come richiesto dalla Commissione europea</w:t>
      </w:r>
      <w:r w:rsidR="00F21985">
        <w:t>, deve comprendere anche l’</w:t>
      </w:r>
      <w:r w:rsidR="00F21985" w:rsidRPr="00F82D22">
        <w:rPr>
          <w:b/>
          <w:bCs/>
        </w:rPr>
        <w:t>eliminazione dei divieti</w:t>
      </w:r>
      <w:r w:rsidR="002B0246">
        <w:t xml:space="preserve">. </w:t>
      </w:r>
      <w:r w:rsidR="00FF1EF8">
        <w:t>In attesa di interventi risolutivi</w:t>
      </w:r>
      <w:r w:rsidR="00BE3E1B">
        <w:t xml:space="preserve"> che pongano fine all’infrazione</w:t>
      </w:r>
      <w:r w:rsidR="00FF1EF8">
        <w:t>,</w:t>
      </w:r>
      <w:r w:rsidR="00596482">
        <w:t xml:space="preserve"> le Commis</w:t>
      </w:r>
      <w:r w:rsidR="00F0402F">
        <w:t>si</w:t>
      </w:r>
      <w:r w:rsidR="00596482">
        <w:t>oni hanno arginato</w:t>
      </w:r>
      <w:r w:rsidR="00205038">
        <w:t xml:space="preserve"> per i prossimi tre anni</w:t>
      </w:r>
      <w:r w:rsidR="00596482">
        <w:t xml:space="preserve"> il rischio dell’entrata in vigore dei divieti.</w:t>
      </w:r>
    </w:p>
    <w:p w14:paraId="06188BDF" w14:textId="77777777" w:rsidR="002B0246" w:rsidRDefault="002B0246" w:rsidP="00F82D22">
      <w:pPr>
        <w:pStyle w:val="Paragrafoelenco"/>
        <w:ind w:left="0"/>
        <w:jc w:val="both"/>
      </w:pPr>
    </w:p>
    <w:p w14:paraId="47093419" w14:textId="0AC44E75" w:rsidR="007B5B20" w:rsidRDefault="00736333" w:rsidP="00F82D22">
      <w:pPr>
        <w:pStyle w:val="Paragrafoelenco"/>
        <w:ind w:left="0"/>
        <w:jc w:val="both"/>
      </w:pPr>
      <w:r>
        <w:t xml:space="preserve">Sottolinea </w:t>
      </w:r>
      <w:r w:rsidR="00BE3E1B">
        <w:t>Grignaschi</w:t>
      </w:r>
      <w:r w:rsidR="00777869">
        <w:t>:</w:t>
      </w:r>
      <w:r w:rsidR="00F0402F">
        <w:t xml:space="preserve"> “</w:t>
      </w:r>
      <w:r w:rsidR="00F0402F" w:rsidRPr="00F82D22">
        <w:rPr>
          <w:i/>
          <w:iCs/>
        </w:rPr>
        <w:t>A nome di tutti gli enti di ricerca riuniti in Research4Life</w:t>
      </w:r>
      <w:r w:rsidR="00777869" w:rsidRPr="00F82D22">
        <w:rPr>
          <w:i/>
          <w:iCs/>
        </w:rPr>
        <w:t>,</w:t>
      </w:r>
      <w:r w:rsidR="00F0402F" w:rsidRPr="00F82D22">
        <w:rPr>
          <w:i/>
          <w:iCs/>
        </w:rPr>
        <w:t xml:space="preserve"> desidero esprimere il più sincero apprezzamento </w:t>
      </w:r>
      <w:r w:rsidR="00596482" w:rsidRPr="00F82D22">
        <w:rPr>
          <w:i/>
          <w:iCs/>
        </w:rPr>
        <w:t xml:space="preserve">per il lavoro svolto </w:t>
      </w:r>
      <w:r w:rsidR="00A316C8" w:rsidRPr="00F82D22">
        <w:rPr>
          <w:i/>
          <w:iCs/>
        </w:rPr>
        <w:t xml:space="preserve">nell’ambito del Milleproroghe </w:t>
      </w:r>
      <w:r w:rsidR="00596482" w:rsidRPr="00F82D22">
        <w:rPr>
          <w:i/>
          <w:iCs/>
        </w:rPr>
        <w:t>dai deputati Rossana Boldi, Fabiola Bologna, Angela Ianaro, Beatrice Lorenzin, Riccardo Magi, Fausto Raciti</w:t>
      </w:r>
      <w:r w:rsidR="00F0402F">
        <w:t>”</w:t>
      </w:r>
      <w:r w:rsidR="00F82D22">
        <w:t>.</w:t>
      </w:r>
    </w:p>
    <w:sectPr w:rsidR="007B5B2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9728" w14:textId="77777777" w:rsidR="00AF6918" w:rsidRDefault="00AF6918" w:rsidP="00156137">
      <w:pPr>
        <w:spacing w:after="0" w:line="240" w:lineRule="auto"/>
      </w:pPr>
      <w:r>
        <w:separator/>
      </w:r>
    </w:p>
  </w:endnote>
  <w:endnote w:type="continuationSeparator" w:id="0">
    <w:p w14:paraId="05FAB1C1" w14:textId="77777777" w:rsidR="00AF6918" w:rsidRDefault="00AF6918" w:rsidP="0015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CF39" w14:textId="77777777" w:rsidR="00AF6918" w:rsidRDefault="00AF6918" w:rsidP="00156137">
      <w:pPr>
        <w:spacing w:after="0" w:line="240" w:lineRule="auto"/>
      </w:pPr>
      <w:r>
        <w:separator/>
      </w:r>
    </w:p>
  </w:footnote>
  <w:footnote w:type="continuationSeparator" w:id="0">
    <w:p w14:paraId="16C14B2C" w14:textId="77777777" w:rsidR="00AF6918" w:rsidRDefault="00AF6918" w:rsidP="0015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F75F" w14:textId="393EE1A9" w:rsidR="00156137" w:rsidRDefault="00156137" w:rsidP="00F82D22">
    <w:pPr>
      <w:pStyle w:val="Intestazione"/>
      <w:jc w:val="right"/>
    </w:pPr>
    <w:r w:rsidRPr="00FD71A2">
      <w:rPr>
        <w:noProof/>
        <w:lang w:eastAsia="it-IT"/>
      </w:rPr>
      <w:drawing>
        <wp:inline distT="0" distB="0" distL="0" distR="0" wp14:anchorId="3C63D687" wp14:editId="5D29D37B">
          <wp:extent cx="1904980" cy="743578"/>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30066" b="30901"/>
                  <a:stretch/>
                </pic:blipFill>
                <pic:spPr bwMode="auto">
                  <a:xfrm>
                    <a:off x="0" y="0"/>
                    <a:ext cx="1905000" cy="7435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45D5"/>
    <w:multiLevelType w:val="hybridMultilevel"/>
    <w:tmpl w:val="8FD0AD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F8"/>
    <w:rsid w:val="000B01DB"/>
    <w:rsid w:val="000C5D15"/>
    <w:rsid w:val="001045CF"/>
    <w:rsid w:val="00143CA3"/>
    <w:rsid w:val="00156137"/>
    <w:rsid w:val="00205038"/>
    <w:rsid w:val="0024790E"/>
    <w:rsid w:val="002B0246"/>
    <w:rsid w:val="00304CBE"/>
    <w:rsid w:val="00406328"/>
    <w:rsid w:val="00596482"/>
    <w:rsid w:val="00672647"/>
    <w:rsid w:val="00736333"/>
    <w:rsid w:val="00777869"/>
    <w:rsid w:val="00793432"/>
    <w:rsid w:val="007B5B20"/>
    <w:rsid w:val="009664A6"/>
    <w:rsid w:val="00A316C8"/>
    <w:rsid w:val="00AF6918"/>
    <w:rsid w:val="00BE3E1B"/>
    <w:rsid w:val="00C24254"/>
    <w:rsid w:val="00C75B2A"/>
    <w:rsid w:val="00C84087"/>
    <w:rsid w:val="00F0402F"/>
    <w:rsid w:val="00F17AE2"/>
    <w:rsid w:val="00F21985"/>
    <w:rsid w:val="00F82D22"/>
    <w:rsid w:val="00FB1216"/>
    <w:rsid w:val="00FC0980"/>
    <w:rsid w:val="00FF1E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AD70"/>
  <w15:chartTrackingRefBased/>
  <w15:docId w15:val="{969E115D-F123-4AB5-BF60-93E85A7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EF8"/>
    <w:pPr>
      <w:spacing w:after="0" w:line="240" w:lineRule="auto"/>
      <w:ind w:left="720"/>
    </w:pPr>
  </w:style>
  <w:style w:type="paragraph" w:styleId="Revisione">
    <w:name w:val="Revision"/>
    <w:hidden/>
    <w:uiPriority w:val="99"/>
    <w:semiHidden/>
    <w:rsid w:val="00C84087"/>
    <w:pPr>
      <w:spacing w:after="0" w:line="240" w:lineRule="auto"/>
    </w:pPr>
  </w:style>
  <w:style w:type="paragraph" w:styleId="Intestazione">
    <w:name w:val="header"/>
    <w:basedOn w:val="Normale"/>
    <w:link w:val="IntestazioneCarattere"/>
    <w:uiPriority w:val="99"/>
    <w:unhideWhenUsed/>
    <w:rsid w:val="001561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137"/>
  </w:style>
  <w:style w:type="paragraph" w:styleId="Pidipagina">
    <w:name w:val="footer"/>
    <w:basedOn w:val="Normale"/>
    <w:link w:val="PidipaginaCarattere"/>
    <w:uiPriority w:val="99"/>
    <w:unhideWhenUsed/>
    <w:rsid w:val="001561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7536">
      <w:bodyDiv w:val="1"/>
      <w:marLeft w:val="0"/>
      <w:marRight w:val="0"/>
      <w:marTop w:val="0"/>
      <w:marBottom w:val="0"/>
      <w:divBdr>
        <w:top w:val="none" w:sz="0" w:space="0" w:color="auto"/>
        <w:left w:val="none" w:sz="0" w:space="0" w:color="auto"/>
        <w:bottom w:val="none" w:sz="0" w:space="0" w:color="auto"/>
        <w:right w:val="none" w:sz="0" w:space="0" w:color="auto"/>
      </w:divBdr>
    </w:div>
    <w:div w:id="11749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Staccone</dc:creator>
  <cp:keywords/>
  <dc:description/>
  <cp:lastModifiedBy>Federica Staccone</cp:lastModifiedBy>
  <cp:revision>6</cp:revision>
  <dcterms:created xsi:type="dcterms:W3CDTF">2022-02-17T18:06:00Z</dcterms:created>
  <dcterms:modified xsi:type="dcterms:W3CDTF">2022-02-17T18:09:00Z</dcterms:modified>
</cp:coreProperties>
</file>